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DB" w:rsidRPr="00FF1BDB" w:rsidRDefault="00FF1BDB" w:rsidP="00FF1B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BDB" w:rsidRPr="000723F1" w:rsidRDefault="00FF1BDB" w:rsidP="000723F1">
      <w:pPr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РОССИЙСКАЯ ФЕДЕРАЦИЯ 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АДМИНИСТРАЦИЯ 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ВЕРХНЕСЕРЕБРЯКОВСКОГО СЕЛЬСКОГО ПОСЕЛЕНИЯ 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ЗИМОВНИКОВСКОГО РАЙОНА 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РОСТОВСКОЙ ОБЛАСТИ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ПОСТАНОВЛЕНИЕ</w:t>
      </w:r>
    </w:p>
    <w:p w:rsidR="00FF1BDB" w:rsidRPr="000723F1" w:rsidRDefault="00FF1BDB" w:rsidP="000723F1">
      <w:pPr>
        <w:keepNext/>
        <w:keepLines/>
        <w:widowControl w:val="0"/>
        <w:spacing w:after="0" w:line="240" w:lineRule="atLeast"/>
        <w:ind w:right="40"/>
        <w:jc w:val="center"/>
        <w:outlineLvl w:val="0"/>
        <w:rPr>
          <w:rFonts w:ascii="Times New Roman" w:eastAsia="SimHei" w:hAnsi="Times New Roman" w:cs="Times New Roman"/>
          <w:spacing w:val="70"/>
          <w:sz w:val="28"/>
          <w:szCs w:val="28"/>
          <w:lang w:eastAsia="ru-RU"/>
        </w:rPr>
      </w:pPr>
      <w:r w:rsidRPr="000723F1">
        <w:rPr>
          <w:rFonts w:ascii="Times New Roman" w:eastAsia="SimHei" w:hAnsi="Times New Roman" w:cs="Times New Roman"/>
          <w:spacing w:val="70"/>
          <w:sz w:val="28"/>
          <w:szCs w:val="28"/>
          <w:lang w:eastAsia="ru-RU"/>
        </w:rPr>
        <w:t>№3</w:t>
      </w:r>
      <w:r w:rsidR="00C61BFE">
        <w:rPr>
          <w:rFonts w:ascii="Times New Roman" w:eastAsia="SimHei" w:hAnsi="Times New Roman" w:cs="Times New Roman"/>
          <w:spacing w:val="70"/>
          <w:sz w:val="28"/>
          <w:szCs w:val="28"/>
          <w:lang w:eastAsia="ru-RU"/>
        </w:rPr>
        <w:t>4</w:t>
      </w:r>
    </w:p>
    <w:p w:rsidR="00FF1BDB" w:rsidRDefault="00FF1BDB" w:rsidP="000723F1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723F1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>18</w:t>
      </w:r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0723F1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>02</w:t>
      </w:r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0723F1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 xml:space="preserve"> 2022</w:t>
      </w:r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г.</w:t>
      </w:r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сл. </w:t>
      </w:r>
      <w:proofErr w:type="spellStart"/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Верхнесеребряковка</w:t>
      </w:r>
      <w:proofErr w:type="spellEnd"/>
    </w:p>
    <w:p w:rsidR="000723F1" w:rsidRPr="000723F1" w:rsidRDefault="000723F1" w:rsidP="000723F1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61BFE" w:rsidRDefault="00C61BFE" w:rsidP="00C61BF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 источниках наружного</w:t>
      </w:r>
    </w:p>
    <w:p w:rsidR="00C61BFE" w:rsidRDefault="00C61BFE" w:rsidP="00C61BF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противопожарного водоснабжения</w:t>
      </w:r>
    </w:p>
    <w:p w:rsidR="00C61BFE" w:rsidRDefault="00C61BFE" w:rsidP="00C61BF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для целей пожаротушения, расположенных</w:t>
      </w:r>
    </w:p>
    <w:p w:rsidR="00C61BFE" w:rsidRDefault="00C61BFE" w:rsidP="00C61BF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 территории Верхнесеребряковского</w:t>
      </w:r>
    </w:p>
    <w:p w:rsidR="00C61BFE" w:rsidRDefault="00C61BFE" w:rsidP="00C61BF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C61BFE" w:rsidRDefault="00C61BFE" w:rsidP="00C61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BFE" w:rsidRDefault="00C61BFE" w:rsidP="00C61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 исполнение Федерального закона от 21 декабря 1994 г. № 69-ФЗ «О пожарной безопасности», </w:t>
      </w:r>
      <w:r>
        <w:rPr>
          <w:rFonts w:ascii="Times New Roman" w:eastAsia="Times New Roman" w:hAnsi="Times New Roman"/>
          <w:color w:val="3F3F3F"/>
          <w:sz w:val="28"/>
          <w:szCs w:val="28"/>
        </w:rPr>
        <w:t>Федеральным законом от 22.07.2008 № 123-ФЗ «Технический регламент о требованиях пожарной безопасности»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пункта 75 Правил противопожарного режима в Российской Федерации, утвержденных постановлением Правительства Российской Федерации от 16.09.2020 №1479 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целях создания условий для забора в любое время года воды из источников наружного водоснабжения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поселения,  </w:t>
      </w:r>
    </w:p>
    <w:p w:rsidR="00C61BFE" w:rsidRDefault="00C61BFE" w:rsidP="00C61B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BFE" w:rsidRDefault="00C61BFE" w:rsidP="00C61B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61BFE" w:rsidRDefault="00C61BFE" w:rsidP="00C61BF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Утвердить Перечень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источников наружного противопожарного водоснабжения для целей пожаротушения, расположенных на территории Верхнесеребряковского сельского поселения, </w:t>
      </w:r>
      <w:r>
        <w:rPr>
          <w:rFonts w:ascii="Times New Roman" w:eastAsia="Times New Roman" w:hAnsi="Times New Roman"/>
          <w:color w:val="3F3F3F"/>
          <w:sz w:val="28"/>
          <w:szCs w:val="28"/>
        </w:rPr>
        <w:t>согласно приложению 1 к настоящему постановлению.</w:t>
      </w:r>
    </w:p>
    <w:p w:rsidR="00C61BFE" w:rsidRDefault="00C61BFE" w:rsidP="00C6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F3F3F"/>
          <w:sz w:val="28"/>
          <w:szCs w:val="28"/>
        </w:rPr>
      </w:pPr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     2. Утвердить Правила учета и проверки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источников наружного противопожарного водоснабжения для целей пожаротушения, расположенных на территории Верхнесеребряковского сельского поселения,</w:t>
      </w:r>
      <w:r>
        <w:rPr>
          <w:rFonts w:ascii="Times New Roman" w:eastAsia="Times New Roman" w:hAnsi="Times New Roman"/>
          <w:color w:val="3F3F3F"/>
          <w:sz w:val="28"/>
          <w:szCs w:val="28"/>
        </w:rPr>
        <w:t xml:space="preserve"> согласно приложению 2 к настоящему постановлению.</w:t>
      </w:r>
    </w:p>
    <w:p w:rsidR="00C61BFE" w:rsidRDefault="00C61BFE" w:rsidP="00C61BFE">
      <w:pPr>
        <w:spacing w:after="1" w:line="20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 Постановление вступает в силу со дня его официального обнародования и размещения на официальном сайте Администрации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1BFE" w:rsidRDefault="00C61BFE" w:rsidP="00C61BF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1BFE" w:rsidRDefault="00C61BFE" w:rsidP="00C61B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BFE" w:rsidRDefault="00C61BFE" w:rsidP="00C61BF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062"/>
        <w:gridCol w:w="992"/>
        <w:gridCol w:w="3083"/>
      </w:tblGrid>
      <w:tr w:rsidR="00C61BFE" w:rsidRPr="000723F1" w:rsidTr="00513576">
        <w:tc>
          <w:tcPr>
            <w:tcW w:w="6062" w:type="dxa"/>
            <w:hideMark/>
          </w:tcPr>
          <w:p w:rsidR="00C61BFE" w:rsidRPr="000723F1" w:rsidRDefault="00C61BFE" w:rsidP="00513576">
            <w:pPr>
              <w:pStyle w:val="32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23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Верхнесеребряковского </w:t>
            </w:r>
          </w:p>
          <w:p w:rsidR="00C61BFE" w:rsidRPr="000723F1" w:rsidRDefault="00C61BFE" w:rsidP="00513576">
            <w:pPr>
              <w:pStyle w:val="32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23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                                                  </w:t>
            </w:r>
          </w:p>
          <w:p w:rsidR="00C61BFE" w:rsidRPr="000723F1" w:rsidRDefault="00C61BFE" w:rsidP="00513576">
            <w:pPr>
              <w:pStyle w:val="32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61BFE" w:rsidRPr="000723F1" w:rsidRDefault="00C61BFE" w:rsidP="0051357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1BFE" w:rsidRPr="000723F1" w:rsidRDefault="00C61BFE" w:rsidP="0051357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hideMark/>
          </w:tcPr>
          <w:p w:rsidR="00C61BFE" w:rsidRPr="000723F1" w:rsidRDefault="00C61BFE" w:rsidP="0051357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3F1">
              <w:rPr>
                <w:rFonts w:ascii="Times New Roman" w:hAnsi="Times New Roman" w:cs="Times New Roman"/>
                <w:sz w:val="28"/>
                <w:szCs w:val="28"/>
              </w:rPr>
              <w:t>М.Ю.Кодочигова</w:t>
            </w:r>
            <w:proofErr w:type="spellEnd"/>
          </w:p>
        </w:tc>
      </w:tr>
    </w:tbl>
    <w:p w:rsidR="00C61BFE" w:rsidRDefault="00C61BFE" w:rsidP="00C61BF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61BFE" w:rsidRDefault="00C61BFE" w:rsidP="00C61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BFE" w:rsidRDefault="00C61BFE" w:rsidP="00C61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BFE" w:rsidRDefault="00C61BFE" w:rsidP="00C61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61BFE" w:rsidRDefault="00C61BFE" w:rsidP="00C6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  от 18.02.2022 №34</w:t>
      </w:r>
    </w:p>
    <w:p w:rsidR="00C61BFE" w:rsidRDefault="00C61BFE" w:rsidP="00C61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BFE" w:rsidRDefault="00C61BFE" w:rsidP="00C61BF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3F3F3F"/>
          <w:sz w:val="28"/>
          <w:szCs w:val="28"/>
        </w:rPr>
      </w:pPr>
      <w:r>
        <w:rPr>
          <w:rFonts w:ascii="Times New Roman" w:eastAsia="Times New Roman" w:hAnsi="Times New Roman"/>
          <w:b/>
          <w:color w:val="3F3F3F"/>
          <w:sz w:val="28"/>
          <w:szCs w:val="28"/>
        </w:rPr>
        <w:t>ПЕРЕЧЕНЬ</w:t>
      </w:r>
    </w:p>
    <w:p w:rsidR="00C61BFE" w:rsidRDefault="00C61BFE" w:rsidP="00C61BFE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8"/>
          <w:szCs w:val="28"/>
        </w:rPr>
      </w:pPr>
      <w:r>
        <w:rPr>
          <w:rFonts w:ascii="Times New Roman" w:eastAsia="Times New Roman" w:hAnsi="Times New Roman"/>
          <w:b/>
          <w:color w:val="3F3F3F"/>
          <w:sz w:val="28"/>
          <w:szCs w:val="28"/>
        </w:rPr>
        <w:t xml:space="preserve">источников наружного водоснабжения и мест для забора воды в </w:t>
      </w:r>
      <w:proofErr w:type="gramStart"/>
      <w:r>
        <w:rPr>
          <w:rFonts w:ascii="Times New Roman" w:eastAsia="Times New Roman" w:hAnsi="Times New Roman"/>
          <w:b/>
          <w:color w:val="3F3F3F"/>
          <w:sz w:val="28"/>
          <w:szCs w:val="28"/>
        </w:rPr>
        <w:t>целях</w:t>
      </w:r>
      <w:proofErr w:type="gramEnd"/>
      <w:r>
        <w:rPr>
          <w:rFonts w:ascii="Times New Roman" w:eastAsia="Times New Roman" w:hAnsi="Times New Roman"/>
          <w:b/>
          <w:color w:val="3F3F3F"/>
          <w:sz w:val="28"/>
          <w:szCs w:val="28"/>
        </w:rPr>
        <w:t xml:space="preserve"> пожаротушения в любое время года из источников наружного водоснабжения на территории</w:t>
      </w:r>
    </w:p>
    <w:p w:rsidR="00C61BFE" w:rsidRDefault="00C61BFE" w:rsidP="00C61BFE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Верхнесеребряковского</w:t>
      </w:r>
      <w:r>
        <w:rPr>
          <w:rFonts w:ascii="Times New Roman" w:eastAsia="Times New Roman" w:hAnsi="Times New Roman"/>
          <w:b/>
          <w:color w:val="3F3F3F"/>
          <w:sz w:val="28"/>
          <w:szCs w:val="28"/>
        </w:rPr>
        <w:t xml:space="preserve"> сельского поселения</w:t>
      </w:r>
    </w:p>
    <w:p w:rsidR="00C61BFE" w:rsidRDefault="00C61BFE" w:rsidP="00C61BFE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948"/>
        <w:gridCol w:w="3477"/>
        <w:gridCol w:w="2213"/>
        <w:gridCol w:w="2213"/>
      </w:tblGrid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Адрес пожарного гидранта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Тип гидранта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Диаметр водопровода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Ул. Мира 1/2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Ул. Мира 6/2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Ул. Молодежная 11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Ул. Молодежная 16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Ул. Молодежная 4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Думенко</w:t>
            </w:r>
            <w:proofErr w:type="spellEnd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Думенко</w:t>
            </w:r>
            <w:proofErr w:type="spellEnd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Думенко</w:t>
            </w:r>
            <w:proofErr w:type="spellEnd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Думенко</w:t>
            </w:r>
            <w:proofErr w:type="spellEnd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 37б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Думенко</w:t>
            </w:r>
            <w:proofErr w:type="spellEnd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Думенко</w:t>
            </w:r>
            <w:proofErr w:type="spellEnd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Думенко</w:t>
            </w:r>
            <w:proofErr w:type="spellEnd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уменко</w:t>
            </w:r>
            <w:proofErr w:type="spellEnd"/>
            <w:r w:rsidRPr="002709FC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  <w:tr w:rsidR="00C61BFE" w:rsidRPr="002709FC" w:rsidTr="00513576">
        <w:tc>
          <w:tcPr>
            <w:tcW w:w="948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7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Ул. Восточная 4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3" w:type="dxa"/>
          </w:tcPr>
          <w:p w:rsidR="00C61BFE" w:rsidRPr="002709FC" w:rsidRDefault="00C61BFE" w:rsidP="0051357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9FC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</w:tr>
    </w:tbl>
    <w:p w:rsidR="00C61BFE" w:rsidRDefault="00C61BFE" w:rsidP="00C61BFE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8"/>
          <w:szCs w:val="28"/>
        </w:rPr>
      </w:pPr>
    </w:p>
    <w:p w:rsidR="00C61BFE" w:rsidRDefault="00C61BFE" w:rsidP="00C61BF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61BFE" w:rsidRDefault="00C61BFE" w:rsidP="00C61B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C61BFE" w:rsidRDefault="00C61BFE" w:rsidP="00C6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постановлению от 18.02.2022 №34</w:t>
      </w:r>
    </w:p>
    <w:p w:rsidR="00C61BFE" w:rsidRDefault="00C61BFE" w:rsidP="00C6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BFE" w:rsidRDefault="00C61BFE" w:rsidP="00C61BF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color w:val="3F3F3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F3F3F"/>
          <w:sz w:val="28"/>
          <w:szCs w:val="28"/>
        </w:rPr>
        <w:t>ПРАВИЛА</w:t>
      </w:r>
    </w:p>
    <w:p w:rsidR="00C61BFE" w:rsidRDefault="00C61BFE" w:rsidP="00C61BFE">
      <w:pPr>
        <w:pStyle w:val="ConsPlusTitle"/>
        <w:jc w:val="center"/>
        <w:rPr>
          <w:rFonts w:ascii="Times New Roman" w:hAnsi="Times New Roman" w:cs="Times New Roman"/>
          <w:bCs/>
          <w:color w:val="3F3F3F"/>
          <w:sz w:val="28"/>
          <w:szCs w:val="28"/>
        </w:rPr>
      </w:pPr>
      <w:r>
        <w:rPr>
          <w:rFonts w:ascii="Times New Roman" w:hAnsi="Times New Roman" w:cs="Times New Roman"/>
          <w:bCs/>
          <w:color w:val="3F3F3F"/>
          <w:sz w:val="28"/>
          <w:szCs w:val="28"/>
        </w:rPr>
        <w:t xml:space="preserve">учёта и проверки наружного водоснабжения и мест для забора воды в </w:t>
      </w:r>
      <w:proofErr w:type="gramStart"/>
      <w:r>
        <w:rPr>
          <w:rFonts w:ascii="Times New Roman" w:hAnsi="Times New Roman" w:cs="Times New Roman"/>
          <w:bCs/>
          <w:color w:val="3F3F3F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Cs/>
          <w:color w:val="3F3F3F"/>
          <w:sz w:val="28"/>
          <w:szCs w:val="28"/>
        </w:rPr>
        <w:t xml:space="preserve"> пожаротушения на территории</w:t>
      </w:r>
    </w:p>
    <w:p w:rsidR="00C61BFE" w:rsidRDefault="00C61BFE" w:rsidP="00C61BFE">
      <w:pPr>
        <w:pStyle w:val="ConsPlusTitle"/>
        <w:jc w:val="center"/>
        <w:rPr>
          <w:rFonts w:ascii="Times New Roman" w:hAnsi="Times New Roman" w:cs="Times New Roman"/>
          <w:bCs/>
          <w:color w:val="3F3F3F"/>
          <w:sz w:val="28"/>
          <w:szCs w:val="28"/>
        </w:rPr>
      </w:pPr>
      <w:r w:rsidRPr="000723F1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bCs/>
          <w:color w:val="3F3F3F"/>
          <w:sz w:val="28"/>
          <w:szCs w:val="28"/>
        </w:rPr>
        <w:t xml:space="preserve"> сельского поселения</w:t>
      </w:r>
    </w:p>
    <w:p w:rsidR="00C61BFE" w:rsidRDefault="00C61BFE" w:rsidP="00C61BF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1. Общие положения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Настоящие Правила действуют на всей территории </w:t>
      </w:r>
      <w:r w:rsidRPr="000723F1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и обязательны для исполнения в любое время года организациями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водопроводно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–канализационного хозяйства, обслуживающими населённые пункты, а также всеми абонентами, имеющими источники наружного водоснабжения и места для забора воды, используемые в целях пожаротушения (далее – источники противопожарного водоснабжения) независимо от их ведомственной принадлежности и организационно-правовой формы.</w:t>
      </w:r>
      <w:proofErr w:type="gramEnd"/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1.2. К источникам противопожарного водоснабжения: наружные водопроводные сети с пожарными гидрантами и водные объекты, используемые для целей пожаротушения.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1.3. Ответственность за состояние источников противопожарного водоснабжения и установку указателей несёт Администрация </w:t>
      </w:r>
      <w:r w:rsidRPr="000723F1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или абонент,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ведении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которого они находятся.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sz w:val="28"/>
          <w:szCs w:val="28"/>
        </w:rPr>
      </w:pP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точным учётом всех источников наружного противопожарного водоснабжения;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систематическим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контролем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состоянием источников наружного противопожарного водоснабжения;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своевременной подготовкой источников наружного противопожарного водоснабжения к условиям эксплуатации в весенне-летний и осенне-зимний периоды.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2.2. Источники противопожарного водоснабжения должны находиться в исправном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состоянии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оборудоваться указателями в соответствии с нормами пожарной безопасности. Ко всем источникам наружного противопожарного водоснабжения должен быть обеспечен подъезд.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2.4. Пожарные водоёмы должны быть наполнены водой. К водоёмам должен быть обеспечен подъезд. В зимнее время площадки и подъезды к пожарным водоемам необходимо содержать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очищенными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2.5.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Учет и порядок проверки источников противопожарного водоснабжения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sz w:val="28"/>
          <w:szCs w:val="28"/>
        </w:rPr>
      </w:pP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3.1.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Pr="000723F1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и абоненты, 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proofErr w:type="gramEnd"/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3.2. С целью учета всех источников противопожарного водоснабжения, Администрация </w:t>
      </w:r>
      <w:r w:rsidRPr="000723F1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и абоненты совместно с Государственной противопожарной службой не реже одного раза </w:t>
      </w:r>
      <w:r>
        <w:rPr>
          <w:rFonts w:ascii="Times New Roman" w:eastAsia="Times New Roman" w:hAnsi="Times New Roman"/>
          <w:sz w:val="28"/>
          <w:szCs w:val="28"/>
        </w:rPr>
        <w:lastRenderedPageBreak/>
        <w:t>в пять лет проводят инвентаризацию источников противопожарного водоснабжения.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3.3. Проверка источников противопожарного водоснабжения производится 2 раза в год: в весенне-летний (с 1 мая по 1 ноября) и осенне-зимний (с 1 ноября по 1 мая) периоды.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3.4. При проверке пожарного гидранта проверяется: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-наличие на видном месте указателя установленного образца;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-возможность беспрепятственного подъезда к пожарному гидранту;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степень заполнения водой и возможность его заполнения;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герметичность задвижек (при наличии).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-состояние колодца и люка пожарного гидранта, производится очистка его от грязи, льда и снега;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-работоспособность пожарного гидранта посредством пуска воды с установкой пожарной колонки;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-герметичность и смазка резьбового соединения и стояка;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-работоспособность сливного устройства;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-наличие крышки гидранта.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3.5. При проверке пожарного водоема проверяется: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наличие на видном месте указателя установленного образца;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возможность беспрепятственного подъезда к пожарному водоему;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степень заполнения водой и возможность его пополнения;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наличие площадки перед водоемом для забора воды;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C61BFE" w:rsidRDefault="00C61BFE" w:rsidP="00C61BFE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3.6. При проверке других приспособленных для целей пожаротушения источников наружного водоснабжения проверяется наличие подъезда и возможность забора воды в любое время года.</w:t>
      </w:r>
    </w:p>
    <w:p w:rsidR="00C61BFE" w:rsidRDefault="00C61BFE" w:rsidP="00C61BFE">
      <w:pPr>
        <w:spacing w:after="0" w:line="240" w:lineRule="auto"/>
        <w:ind w:left="-284" w:right="140"/>
        <w:jc w:val="both"/>
        <w:rPr>
          <w:rFonts w:ascii="Times New Roman" w:eastAsia="Calibri" w:hAnsi="Times New Roman"/>
          <w:sz w:val="28"/>
          <w:szCs w:val="28"/>
        </w:rPr>
      </w:pPr>
    </w:p>
    <w:p w:rsidR="00C61BFE" w:rsidRDefault="00C61BFE" w:rsidP="00C61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23F1" w:rsidRPr="000723F1" w:rsidRDefault="000723F1" w:rsidP="000723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BDB" w:rsidRPr="000723F1" w:rsidRDefault="00FF1BDB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E5C" w:rsidRDefault="00502E5C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3E7" w:rsidRDefault="009D43E7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3E7" w:rsidRDefault="009D43E7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P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695" w:rsidRPr="009D43E7" w:rsidRDefault="00C20695" w:rsidP="000723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20695" w:rsidRPr="009D43E7" w:rsidSect="009D43E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E0B"/>
    <w:multiLevelType w:val="multilevel"/>
    <w:tmpl w:val="3E72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20AC4"/>
    <w:multiLevelType w:val="multilevel"/>
    <w:tmpl w:val="7DA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D0BFC"/>
    <w:multiLevelType w:val="multilevel"/>
    <w:tmpl w:val="02560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A4E52"/>
    <w:multiLevelType w:val="multilevel"/>
    <w:tmpl w:val="D178A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DB"/>
    <w:rsid w:val="000723F1"/>
    <w:rsid w:val="004B0DDA"/>
    <w:rsid w:val="00502E5C"/>
    <w:rsid w:val="00562FD5"/>
    <w:rsid w:val="009D43E7"/>
    <w:rsid w:val="00AE2E70"/>
    <w:rsid w:val="00C20695"/>
    <w:rsid w:val="00C61BFE"/>
    <w:rsid w:val="00CF0DA2"/>
    <w:rsid w:val="00DB780D"/>
    <w:rsid w:val="00FF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5"/>
  </w:style>
  <w:style w:type="paragraph" w:styleId="1">
    <w:name w:val="heading 1"/>
    <w:basedOn w:val="a"/>
    <w:link w:val="10"/>
    <w:uiPriority w:val="9"/>
    <w:qFormat/>
    <w:rsid w:val="00FF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72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1B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502E5C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2E5C"/>
    <w:pPr>
      <w:widowControl w:val="0"/>
      <w:shd w:val="clear" w:color="auto" w:fill="FFFFFF"/>
      <w:spacing w:after="0" w:line="356" w:lineRule="exact"/>
      <w:ind w:hanging="400"/>
      <w:jc w:val="both"/>
    </w:pPr>
    <w:rPr>
      <w:rFonts w:ascii="Lucida Sans Unicode" w:eastAsia="Lucida Sans Unicode" w:hAnsi="Lucida Sans Unicode" w:cs="Lucida Sans Unicode"/>
      <w:b/>
      <w:bCs/>
    </w:rPr>
  </w:style>
  <w:style w:type="character" w:customStyle="1" w:styleId="30">
    <w:name w:val="Заголовок 3 Знак"/>
    <w:basedOn w:val="a0"/>
    <w:link w:val="3"/>
    <w:uiPriority w:val="9"/>
    <w:rsid w:val="000723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rsid w:val="00072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7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723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nStyl">
    <w:name w:val="MainStyl"/>
    <w:basedOn w:val="a"/>
    <w:rsid w:val="000723F1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character" w:customStyle="1" w:styleId="a5">
    <w:name w:val="Основной текст_"/>
    <w:basedOn w:val="a0"/>
    <w:link w:val="12"/>
    <w:rsid w:val="009D43E7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15pt">
    <w:name w:val="Основной текст + 11;5 pt"/>
    <w:basedOn w:val="a5"/>
    <w:rsid w:val="009D43E7"/>
    <w:rPr>
      <w:color w:val="000000"/>
      <w:w w:val="100"/>
      <w:position w:val="0"/>
      <w:sz w:val="23"/>
      <w:szCs w:val="23"/>
      <w:lang w:val="ru-RU"/>
    </w:rPr>
  </w:style>
  <w:style w:type="character" w:customStyle="1" w:styleId="Candara115pt0pt">
    <w:name w:val="Основной текст + Candara;11;5 pt;Интервал 0 pt"/>
    <w:basedOn w:val="a5"/>
    <w:rsid w:val="009D43E7"/>
    <w:rPr>
      <w:rFonts w:ascii="Candara" w:eastAsia="Candara" w:hAnsi="Candara" w:cs="Candara"/>
      <w:color w:val="000000"/>
      <w:spacing w:val="10"/>
      <w:w w:val="100"/>
      <w:position w:val="0"/>
      <w:sz w:val="23"/>
      <w:szCs w:val="23"/>
      <w:lang w:val="en-US"/>
    </w:rPr>
  </w:style>
  <w:style w:type="paragraph" w:customStyle="1" w:styleId="12">
    <w:name w:val="Основной текст1"/>
    <w:basedOn w:val="a"/>
    <w:link w:val="a5"/>
    <w:rsid w:val="009D43E7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ConsPlusNormal">
    <w:name w:val="ConsPlusNormal"/>
    <w:rsid w:val="00C61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B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1BFE"/>
    <w:pPr>
      <w:ind w:left="720"/>
      <w:contextualSpacing/>
    </w:pPr>
  </w:style>
  <w:style w:type="table" w:styleId="a9">
    <w:name w:val="Table Grid"/>
    <w:basedOn w:val="a1"/>
    <w:uiPriority w:val="59"/>
    <w:rsid w:val="00C6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2023-01-25T08:59:00Z</cp:lastPrinted>
  <dcterms:created xsi:type="dcterms:W3CDTF">2023-01-25T08:04:00Z</dcterms:created>
  <dcterms:modified xsi:type="dcterms:W3CDTF">2023-01-25T08:59:00Z</dcterms:modified>
</cp:coreProperties>
</file>