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C2" w:rsidRDefault="00F859C2" w:rsidP="00F859C2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F859C2" w:rsidRPr="00C0249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757"/>
        <w:gridCol w:w="2553"/>
        <w:gridCol w:w="2344"/>
        <w:gridCol w:w="1580"/>
        <w:gridCol w:w="1416"/>
        <w:gridCol w:w="1695"/>
        <w:gridCol w:w="1247"/>
        <w:gridCol w:w="1360"/>
        <w:gridCol w:w="1746"/>
      </w:tblGrid>
      <w:tr w:rsidR="00381AEB" w:rsidRPr="009F2252" w:rsidTr="00381AEB">
        <w:trPr>
          <w:trHeight w:val="3595"/>
        </w:trPr>
        <w:tc>
          <w:tcPr>
            <w:tcW w:w="128" w:type="pct"/>
          </w:tcPr>
          <w:p w:rsidR="00F859C2" w:rsidRPr="009F2252" w:rsidRDefault="00F859C2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№п/п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Краткое наименование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</w:t>
            </w:r>
          </w:p>
        </w:tc>
        <w:tc>
          <w:tcPr>
            <w:tcW w:w="79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налогового расхода Верхнесеребряковского сельского поселения</w:t>
            </w:r>
          </w:p>
        </w:tc>
        <w:tc>
          <w:tcPr>
            <w:tcW w:w="72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Реквизиты нормативного правового акта Верхнесеребряковского сельского поселения, устанавливающего налоговый расход</w:t>
            </w:r>
          </w:p>
        </w:tc>
        <w:tc>
          <w:tcPr>
            <w:tcW w:w="490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Целевая категория налогового расхода Верхнесеребряковского сельского поселения</w:t>
            </w:r>
          </w:p>
        </w:tc>
        <w:tc>
          <w:tcPr>
            <w:tcW w:w="526" w:type="pct"/>
          </w:tcPr>
          <w:p w:rsidR="00F859C2" w:rsidRPr="009F2252" w:rsidRDefault="00F859C2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муниципальной программы Верхнесеребряковского сельского поселения, предусматривающей налоговые расходы</w:t>
            </w:r>
          </w:p>
        </w:tc>
        <w:tc>
          <w:tcPr>
            <w:tcW w:w="38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подпрограммы муниципальной программы 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Верхнесеребряковского сельского поселения, </w:t>
            </w:r>
            <w:proofErr w:type="gramStart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предусматривающей</w:t>
            </w:r>
            <w:proofErr w:type="gramEnd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42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Верхнесеребряковского сельского поселения, </w:t>
            </w:r>
            <w:proofErr w:type="gramStart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предусматривающей</w:t>
            </w:r>
            <w:proofErr w:type="gramEnd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54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куратора налогового расхода</w:t>
            </w:r>
          </w:p>
        </w:tc>
      </w:tr>
      <w:tr w:rsidR="00381AEB" w:rsidRPr="009F2252" w:rsidTr="00381AEB">
        <w:tc>
          <w:tcPr>
            <w:tcW w:w="128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0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6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381AEB" w:rsidRPr="009F2252" w:rsidTr="00381AEB">
        <w:tc>
          <w:tcPr>
            <w:tcW w:w="128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5" w:type="pct"/>
          </w:tcPr>
          <w:p w:rsidR="00F859C2" w:rsidRPr="009F2252" w:rsidRDefault="008F31E6" w:rsidP="009A3B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Освобождение от уплаты земельного нало</w:t>
            </w:r>
            <w:r w:rsidR="009A3B9F">
              <w:rPr>
                <w:sz w:val="22"/>
                <w:szCs w:val="22"/>
              </w:rPr>
              <w:t>га граждан Российской Федерации</w:t>
            </w:r>
            <w:r w:rsidRPr="009F2252">
              <w:rPr>
                <w:sz w:val="22"/>
                <w:szCs w:val="22"/>
              </w:rPr>
              <w:t xml:space="preserve">, проживающих на территории </w:t>
            </w:r>
            <w:r w:rsidR="009A3B9F"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92" w:type="pct"/>
          </w:tcPr>
          <w:p w:rsidR="00F859C2" w:rsidRPr="009A3B9F" w:rsidRDefault="009A3B9F" w:rsidP="009A3B9F">
            <w:pPr>
              <w:jc w:val="both"/>
              <w:rPr>
                <w:sz w:val="22"/>
                <w:szCs w:val="22"/>
              </w:rPr>
            </w:pPr>
            <w:proofErr w:type="gramStart"/>
            <w:r w:rsidRPr="009A3B9F">
              <w:rPr>
                <w:sz w:val="22"/>
                <w:szCs w:val="22"/>
              </w:rPr>
              <w:t>От уплаты земельного налога за земельные участки, предоставленные  для инди</w:t>
            </w:r>
            <w:r>
              <w:rPr>
                <w:sz w:val="22"/>
                <w:szCs w:val="22"/>
              </w:rPr>
              <w:t>видуального жилищного строитель</w:t>
            </w:r>
            <w:r w:rsidRPr="009A3B9F">
              <w:rPr>
                <w:sz w:val="22"/>
                <w:szCs w:val="22"/>
              </w:rPr>
              <w:t>ства, ведения личного подсобного хозяйства или создания крестьянского (фермер</w:t>
            </w:r>
            <w:r>
              <w:rPr>
                <w:sz w:val="22"/>
                <w:szCs w:val="22"/>
              </w:rPr>
              <w:t xml:space="preserve">ского) хозяйства освобождаются </w:t>
            </w:r>
            <w:r w:rsidRPr="009A3B9F">
              <w:rPr>
                <w:sz w:val="22"/>
                <w:szCs w:val="22"/>
              </w:rPr>
              <w:t xml:space="preserve">граждане Российской Федерации, проживающие на территории Верхнесеребряковского сельского поселения не </w:t>
            </w:r>
            <w:r w:rsidRPr="009A3B9F">
              <w:rPr>
                <w:sz w:val="22"/>
                <w:szCs w:val="22"/>
              </w:rPr>
              <w:lastRenderedPageBreak/>
              <w:t>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</w:t>
            </w:r>
            <w:proofErr w:type="gramEnd"/>
            <w:r w:rsidRPr="009A3B9F">
              <w:rPr>
                <w:sz w:val="22"/>
                <w:szCs w:val="22"/>
              </w:rPr>
              <w:t>, при условии воспитания этих детей не менее 3 лет, в соответствии со статьями 82 и 83 Областного закона от 22.07.2003 №19-ЗС «О регулировании земельных отношений в Ростовской области»;</w:t>
            </w:r>
          </w:p>
        </w:tc>
        <w:tc>
          <w:tcPr>
            <w:tcW w:w="727" w:type="pct"/>
          </w:tcPr>
          <w:p w:rsidR="00F859C2" w:rsidRPr="009F2252" w:rsidRDefault="009F2252" w:rsidP="00F619C6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lastRenderedPageBreak/>
              <w:t>Решение Собрания депутатов Верхнесеребряковского сельского поселения от 29.11.2019 г. № 8</w:t>
            </w:r>
            <w:r w:rsidR="009A3B9F">
              <w:rPr>
                <w:sz w:val="22"/>
                <w:szCs w:val="22"/>
                <w:lang w:eastAsia="en-US"/>
              </w:rPr>
              <w:t>4«О земельном н</w:t>
            </w:r>
            <w:r w:rsidR="001E2AA9">
              <w:rPr>
                <w:sz w:val="22"/>
                <w:szCs w:val="22"/>
                <w:lang w:eastAsia="en-US"/>
              </w:rPr>
              <w:t>алоге» (в ред. №36 от 11.11.2022</w:t>
            </w:r>
            <w:bookmarkStart w:id="0" w:name="_GoBack"/>
            <w:bookmarkEnd w:id="0"/>
            <w:r w:rsidRPr="009F2252">
              <w:rPr>
                <w:sz w:val="22"/>
                <w:szCs w:val="22"/>
                <w:lang w:eastAsia="en-US"/>
              </w:rPr>
              <w:t>г.)</w:t>
            </w:r>
          </w:p>
        </w:tc>
        <w:tc>
          <w:tcPr>
            <w:tcW w:w="490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39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 w:rsidR="009A3B9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9A3B9F"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526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 xml:space="preserve">Повышение уровня жизни граждан </w:t>
            </w:r>
            <w:r w:rsidR="00381AEB" w:rsidRPr="009F2252">
              <w:rPr>
                <w:sz w:val="22"/>
                <w:szCs w:val="22"/>
              </w:rPr>
              <w:t>- п</w:t>
            </w:r>
            <w:r w:rsidRPr="009F2252">
              <w:rPr>
                <w:sz w:val="22"/>
                <w:szCs w:val="22"/>
              </w:rPr>
              <w:t>олучателей мер социальной поддержки</w:t>
            </w:r>
          </w:p>
        </w:tc>
        <w:tc>
          <w:tcPr>
            <w:tcW w:w="387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22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542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  <w:tr w:rsidR="009A3B9F" w:rsidRPr="009F2252" w:rsidTr="00381AEB">
        <w:tc>
          <w:tcPr>
            <w:tcW w:w="128" w:type="pct"/>
          </w:tcPr>
          <w:p w:rsidR="009A3B9F" w:rsidRPr="009F2252" w:rsidRDefault="009A3B9F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45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Освобождение от уплаты земельного налога граждан Российской Федерации</w:t>
            </w:r>
            <w:proofErr w:type="gramStart"/>
            <w:r w:rsidRPr="009F2252">
              <w:rPr>
                <w:sz w:val="22"/>
                <w:szCs w:val="22"/>
              </w:rPr>
              <w:t xml:space="preserve"> ,</w:t>
            </w:r>
            <w:proofErr w:type="gramEnd"/>
            <w:r w:rsidRPr="009F2252">
              <w:rPr>
                <w:sz w:val="22"/>
                <w:szCs w:val="22"/>
              </w:rPr>
              <w:t xml:space="preserve"> проживающих на территории </w:t>
            </w:r>
            <w:r w:rsidRPr="009A3B9F"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92" w:type="pct"/>
          </w:tcPr>
          <w:p w:rsidR="009A3B9F" w:rsidRDefault="009A3B9F" w:rsidP="00F619C6">
            <w:pPr>
              <w:jc w:val="both"/>
              <w:rPr>
                <w:sz w:val="22"/>
                <w:szCs w:val="22"/>
              </w:rPr>
            </w:pPr>
            <w:r w:rsidRPr="009A3B9F">
              <w:rPr>
                <w:sz w:val="22"/>
                <w:szCs w:val="22"/>
              </w:rPr>
              <w:t>граждане, призванные на военную службу по мобилизации в Вооруженные Силы Российской Федерации, а также их супруга (супруг),  несовершеннолетние дети, родители (усыновители).</w:t>
            </w:r>
          </w:p>
        </w:tc>
        <w:tc>
          <w:tcPr>
            <w:tcW w:w="727" w:type="pct"/>
          </w:tcPr>
          <w:p w:rsidR="009A3B9F" w:rsidRPr="009F2252" w:rsidRDefault="009A3B9F" w:rsidP="00317E8E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t>Решение Собрания депутатов Верхнесеребряковского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>4«О земельном налоге» (в ред. №36 от 11.11.2022</w:t>
            </w:r>
            <w:r w:rsidRPr="009F2252">
              <w:rPr>
                <w:sz w:val="22"/>
                <w:szCs w:val="22"/>
                <w:lang w:eastAsia="en-US"/>
              </w:rPr>
              <w:t>г.)</w:t>
            </w:r>
          </w:p>
        </w:tc>
        <w:tc>
          <w:tcPr>
            <w:tcW w:w="490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39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526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387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22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542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</w:tbl>
    <w:p w:rsidR="00086371" w:rsidRDefault="00086371"/>
    <w:sectPr w:rsidR="00086371" w:rsidSect="009F2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9C2"/>
    <w:rsid w:val="00086371"/>
    <w:rsid w:val="001E2AA9"/>
    <w:rsid w:val="00381AEB"/>
    <w:rsid w:val="00416911"/>
    <w:rsid w:val="007E7354"/>
    <w:rsid w:val="008F31E6"/>
    <w:rsid w:val="009A3B9F"/>
    <w:rsid w:val="009F1796"/>
    <w:rsid w:val="009F2252"/>
    <w:rsid w:val="00AA7A4B"/>
    <w:rsid w:val="00CC49F1"/>
    <w:rsid w:val="00F619C6"/>
    <w:rsid w:val="00F859C2"/>
    <w:rsid w:val="00FC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2020-07-30T05:58:00Z</dcterms:created>
  <dcterms:modified xsi:type="dcterms:W3CDTF">2023-08-14T10:37:00Z</dcterms:modified>
</cp:coreProperties>
</file>